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E88F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TRI-STATE GENERATION AND TRANSMISSION ASSOCIATION, INC.</w:t>
      </w:r>
    </w:p>
    <w:p w14:paraId="236E709F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ELECTRIFY AND SAVE PROGRAM GUIDE</w:t>
      </w:r>
    </w:p>
    <w:p w14:paraId="5EE33FDA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4"/>
          <w:szCs w:val="14"/>
        </w:rPr>
        <w:t xml:space="preserve">Effective 8/1/2026, Revised 7/17/2026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Page 27</w:t>
      </w:r>
    </w:p>
    <w:p w14:paraId="4F1581F5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10" w:hAnsi="CIDFont+F10" w:cs="CIDFont+F10"/>
          <w:color w:val="365F92"/>
          <w:kern w:val="0"/>
          <w:sz w:val="23"/>
          <w:szCs w:val="23"/>
        </w:rPr>
      </w:pPr>
      <w:r>
        <w:rPr>
          <w:rFonts w:ascii="CIDFont+F10" w:hAnsi="CIDFont+F10" w:cs="CIDFont+F10"/>
          <w:color w:val="365F92"/>
          <w:kern w:val="0"/>
          <w:sz w:val="23"/>
          <w:szCs w:val="23"/>
        </w:rPr>
        <w:t>Oil and Gas</w:t>
      </w:r>
    </w:p>
    <w:p w14:paraId="07278633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3"/>
          <w:szCs w:val="23"/>
        </w:rPr>
      </w:pPr>
      <w:r>
        <w:rPr>
          <w:rFonts w:ascii="CIDFont+F3" w:hAnsi="CIDFont+F3" w:cs="CIDFont+F3"/>
          <w:color w:val="365F92"/>
          <w:kern w:val="0"/>
          <w:sz w:val="23"/>
          <w:szCs w:val="23"/>
        </w:rPr>
        <w:t>Oil and Gas Assessments</w:t>
      </w:r>
    </w:p>
    <w:p w14:paraId="1253FF1D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Incentive</w:t>
      </w:r>
    </w:p>
    <w:p w14:paraId="3B6EB1EF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Assessment costs are free to </w:t>
      </w:r>
      <w:proofErr w:type="gramStart"/>
      <w:r>
        <w:rPr>
          <w:rFonts w:ascii="CIDFont+F2" w:hAnsi="CIDFont+F2" w:cs="CIDFont+F2"/>
          <w:color w:val="000000"/>
          <w:kern w:val="0"/>
          <w:sz w:val="17"/>
          <w:szCs w:val="17"/>
        </w:rPr>
        <w:t>member</w:t>
      </w:r>
      <w:proofErr w:type="gramEnd"/>
      <w:r>
        <w:rPr>
          <w:rFonts w:ascii="CIDFont+F2" w:hAnsi="CIDFont+F2" w:cs="CIDFont+F2"/>
          <w:color w:val="000000"/>
          <w:kern w:val="0"/>
          <w:sz w:val="17"/>
          <w:szCs w:val="17"/>
        </w:rPr>
        <w:t>, subject to overall program cap of $500k for assessments.</w:t>
      </w:r>
    </w:p>
    <w:p w14:paraId="20ACF2B8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If applicable, energy management or optimization rebates</w:t>
      </w:r>
    </w:p>
    <w:p w14:paraId="25E84EF8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$0.02 per kWh to optimize existing controllers</w:t>
      </w:r>
    </w:p>
    <w:p w14:paraId="5C2A3691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$0.07 per kWh for capital expenses (i.e. new controllers and sensors)</w:t>
      </w:r>
    </w:p>
    <w:p w14:paraId="5A7C3489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8" w:hAnsi="CIDFont+F8" w:cs="CIDFont+F8"/>
          <w:color w:val="000000"/>
          <w:kern w:val="0"/>
          <w:sz w:val="16"/>
          <w:szCs w:val="16"/>
        </w:rPr>
        <w:t xml:space="preserve">o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 xml:space="preserve">Heat trace projects identified after October 1, </w:t>
      </w:r>
      <w:proofErr w:type="gramStart"/>
      <w:r>
        <w:rPr>
          <w:rFonts w:ascii="CIDFont+F2" w:hAnsi="CIDFont+F2" w:cs="CIDFont+F2"/>
          <w:color w:val="000000"/>
          <w:kern w:val="0"/>
          <w:sz w:val="16"/>
          <w:szCs w:val="16"/>
        </w:rPr>
        <w:t>2026</w:t>
      </w:r>
      <w:proofErr w:type="gramEnd"/>
      <w:r>
        <w:rPr>
          <w:rFonts w:ascii="CIDFont+F2" w:hAnsi="CIDFont+F2" w:cs="CIDFont+F2"/>
          <w:color w:val="000000"/>
          <w:kern w:val="0"/>
          <w:sz w:val="16"/>
          <w:szCs w:val="16"/>
        </w:rPr>
        <w:t xml:space="preserve"> will be required to have a heat trace cable</w:t>
      </w:r>
    </w:p>
    <w:p w14:paraId="69F86022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</w:rPr>
        <w:t>measuring the temperature of the pipe will be rebated at $3.50 per linear foot for new construction or</w:t>
      </w:r>
    </w:p>
    <w:p w14:paraId="788CD58F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</w:rPr>
        <w:t>$2,250 a well pad for existing construction.</w:t>
      </w:r>
    </w:p>
    <w:p w14:paraId="4DE9CDA7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9" w:eastAsia="CIDFont+F9" w:hAnsi="CIDFont+F1" w:cs="CIDFont+F9" w:hint="eastAsia"/>
          <w:color w:val="000000"/>
          <w:kern w:val="0"/>
          <w:sz w:val="16"/>
          <w:szCs w:val="16"/>
        </w:rPr>
        <w:t></w:t>
      </w:r>
      <w:r>
        <w:rPr>
          <w:rFonts w:ascii="CIDFont+F9" w:eastAsia="CIDFont+F9" w:hAnsi="CIDFont+F1" w:cs="CIDFont+F9"/>
          <w:color w:val="000000"/>
          <w:kern w:val="0"/>
          <w:sz w:val="16"/>
          <w:szCs w:val="16"/>
        </w:rPr>
        <w:t xml:space="preserve">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Every 20</w:t>
      </w:r>
      <w:r>
        <w:rPr>
          <w:rFonts w:ascii="CIDFont+F2" w:hAnsi="CIDFont+F2" w:cs="CIDFont+F2"/>
          <w:color w:val="000000"/>
          <w:kern w:val="0"/>
          <w:sz w:val="10"/>
          <w:szCs w:val="10"/>
        </w:rPr>
        <w:t xml:space="preserve">th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controller incentivized will be required to have either a 12-month forward utility bill</w:t>
      </w:r>
    </w:p>
    <w:p w14:paraId="1D835F81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</w:rPr>
        <w:t>review or datalogger equipment installed for up to 4 months.</w:t>
      </w:r>
    </w:p>
    <w:p w14:paraId="53F3978D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4" w:eastAsia="CIDFont+F4" w:hAnsi="CIDFont+F1" w:cs="CIDFont+F4" w:hint="eastAsia"/>
          <w:color w:val="000000"/>
          <w:kern w:val="0"/>
          <w:sz w:val="16"/>
          <w:szCs w:val="16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6"/>
          <w:szCs w:val="16"/>
        </w:rPr>
        <w:t xml:space="preserve">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Pneumatic Controllers</w:t>
      </w:r>
    </w:p>
    <w:p w14:paraId="4309E533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8" w:hAnsi="CIDFont+F8" w:cs="CIDFont+F8"/>
          <w:color w:val="000000"/>
          <w:kern w:val="0"/>
          <w:sz w:val="16"/>
          <w:szCs w:val="16"/>
        </w:rPr>
        <w:t xml:space="preserve">o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 xml:space="preserve">Pneumatic Controller must have a VSD and will be </w:t>
      </w:r>
      <w:proofErr w:type="gramStart"/>
      <w:r>
        <w:rPr>
          <w:rFonts w:ascii="CIDFont+F2" w:hAnsi="CIDFont+F2" w:cs="CIDFont+F2"/>
          <w:color w:val="000000"/>
          <w:kern w:val="0"/>
          <w:sz w:val="16"/>
          <w:szCs w:val="16"/>
        </w:rPr>
        <w:t>rebated</w:t>
      </w:r>
      <w:proofErr w:type="gramEnd"/>
      <w:r>
        <w:rPr>
          <w:rFonts w:ascii="CIDFont+F2" w:hAnsi="CIDFont+F2" w:cs="CIDFont+F2"/>
          <w:color w:val="000000"/>
          <w:kern w:val="0"/>
          <w:sz w:val="16"/>
          <w:szCs w:val="16"/>
        </w:rPr>
        <w:t xml:space="preserve"> at $400 per HP installed not to exceed 50% of</w:t>
      </w:r>
    </w:p>
    <w:p w14:paraId="6DAA9B5C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</w:rPr>
        <w:t>project cost and/or $40,000</w:t>
      </w:r>
    </w:p>
    <w:p w14:paraId="4516FD5A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9" w:eastAsia="CIDFont+F9" w:hAnsi="CIDFont+F1" w:cs="CIDFont+F9" w:hint="eastAsia"/>
          <w:color w:val="000000"/>
          <w:kern w:val="0"/>
          <w:sz w:val="16"/>
          <w:szCs w:val="16"/>
        </w:rPr>
        <w:t></w:t>
      </w:r>
      <w:r>
        <w:rPr>
          <w:rFonts w:ascii="CIDFont+F9" w:eastAsia="CIDFont+F9" w:hAnsi="CIDFont+F1" w:cs="CIDFont+F9"/>
          <w:color w:val="000000"/>
          <w:kern w:val="0"/>
          <w:sz w:val="16"/>
          <w:szCs w:val="16"/>
        </w:rPr>
        <w:t xml:space="preserve">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Pneumatic Controllers require ongoing monitoring. The cost of monitoring is covered under the</w:t>
      </w:r>
    </w:p>
    <w:p w14:paraId="1E0232F3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</w:rPr>
        <w:t>program. Monitor is based on how the circuit is metered and can either be a 12-month utility</w:t>
      </w:r>
    </w:p>
    <w:p w14:paraId="5569522B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</w:rPr>
        <w:t>bill review or adding a datalogger to the circuit for up to 4 months.</w:t>
      </w:r>
    </w:p>
    <w:p w14:paraId="448216CF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9" w:eastAsia="CIDFont+F9" w:hAnsi="CIDFont+F1" w:cs="CIDFont+F9" w:hint="eastAsia"/>
          <w:color w:val="000000"/>
          <w:kern w:val="0"/>
          <w:sz w:val="16"/>
          <w:szCs w:val="16"/>
        </w:rPr>
        <w:t></w:t>
      </w:r>
      <w:r>
        <w:rPr>
          <w:rFonts w:ascii="CIDFont+F9" w:eastAsia="CIDFont+F9" w:hAnsi="CIDFont+F1" w:cs="CIDFont+F9"/>
          <w:color w:val="000000"/>
          <w:kern w:val="0"/>
          <w:sz w:val="16"/>
          <w:szCs w:val="16"/>
        </w:rPr>
        <w:t xml:space="preserve">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Up to 30 Pneumatic Controllers will be rebated under the program in 2026</w:t>
      </w:r>
    </w:p>
    <w:p w14:paraId="4DB1DF36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If applicable, a custom rebate per kWh saved</w:t>
      </w:r>
    </w:p>
    <w:p w14:paraId="3BCCF68E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If applicable, demand response participation payment</w:t>
      </w:r>
    </w:p>
    <w:p w14:paraId="411B7A8E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&amp; Application Requirements</w:t>
      </w:r>
    </w:p>
    <w:p w14:paraId="563972AD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Member system must initiate program with Tri-State prior to onboarding member consumers</w:t>
      </w:r>
    </w:p>
    <w:p w14:paraId="74F12F8F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Service provider requires access to site &amp; equipment</w:t>
      </w:r>
    </w:p>
    <w:p w14:paraId="63BA838C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Service provider requires access to electric and other energy use data</w:t>
      </w:r>
    </w:p>
    <w:p w14:paraId="055582C8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Service provider requires access to perform M&amp;V</w:t>
      </w:r>
    </w:p>
    <w:p w14:paraId="3C86DBDE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O&amp;G rebates received in association with an assessment preclude additional product rebates (e.g.</w:t>
      </w:r>
    </w:p>
    <w:p w14:paraId="1CADA9BE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Electric Motors, VFD, etc.)</w:t>
      </w:r>
    </w:p>
    <w:p w14:paraId="4D55AC8C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Guidelines</w:t>
      </w:r>
    </w:p>
    <w:p w14:paraId="6AC95E7C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Member systems must initiate these program services with Tri-State prior to onboarding </w:t>
      </w:r>
      <w:proofErr w:type="gramStart"/>
      <w:r>
        <w:rPr>
          <w:rFonts w:ascii="CIDFont+F2" w:hAnsi="CIDFont+F2" w:cs="CIDFont+F2"/>
          <w:color w:val="000000"/>
          <w:kern w:val="0"/>
          <w:sz w:val="17"/>
          <w:szCs w:val="17"/>
        </w:rPr>
        <w:t>member</w:t>
      </w:r>
      <w:proofErr w:type="gramEnd"/>
    </w:p>
    <w:p w14:paraId="4A3A9CE7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consumers to ensure contractor capacity is available and mitigate program costs</w:t>
      </w:r>
    </w:p>
    <w:p w14:paraId="45A22C73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90-day application submittal requirement does not apply</w:t>
      </w:r>
    </w:p>
    <w:p w14:paraId="79900C25" w14:textId="77777777" w:rsidR="00E121BC" w:rsidRDefault="00E121BC" w:rsidP="00E121BC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1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1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Measure incentives (not including assessment cost) per project are subject to a $100,000 program cap,</w:t>
      </w:r>
    </w:p>
    <w:p w14:paraId="3616CDEE" w14:textId="262ED583" w:rsidR="00F27D0C" w:rsidRDefault="00E121BC" w:rsidP="00E121BC">
      <w:r>
        <w:rPr>
          <w:rFonts w:ascii="CIDFont+F2" w:hAnsi="CIDFont+F2" w:cs="CIDFont+F2"/>
          <w:color w:val="000000"/>
          <w:kern w:val="0"/>
          <w:sz w:val="17"/>
          <w:szCs w:val="17"/>
        </w:rPr>
        <w:t>a $400,000 SVP cap, and/or any larger rebate may require approval by the Tri-State board.</w:t>
      </w:r>
    </w:p>
    <w:sectPr w:rsidR="00F27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BC"/>
    <w:rsid w:val="00890F95"/>
    <w:rsid w:val="00E121BC"/>
    <w:rsid w:val="00F2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367D"/>
  <w15:chartTrackingRefBased/>
  <w15:docId w15:val="{5159E07D-7651-42EC-8A2F-AFCE8F34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1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1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Ehlers</dc:creator>
  <cp:keywords/>
  <dc:description/>
  <cp:lastModifiedBy>George Ehlers</cp:lastModifiedBy>
  <cp:revision>1</cp:revision>
  <dcterms:created xsi:type="dcterms:W3CDTF">2026-08-04T18:05:00Z</dcterms:created>
  <dcterms:modified xsi:type="dcterms:W3CDTF">2026-08-04T18:06:00Z</dcterms:modified>
</cp:coreProperties>
</file>